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安徽大学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国有资产与实验室管理处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（采购管理中心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科研助理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岗位应聘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ind w:right="0" w:firstLine="0" w:firstLineChars="0"/>
              <w:jc w:val="center"/>
              <w:outlineLvl w:val="0"/>
              <w:rPr>
                <w:rFonts w:hint="eastAsia"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ind w:left="0" w:right="0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D800134"/>
    <w:rsid w:val="16FD0A58"/>
    <w:rsid w:val="21992D38"/>
    <w:rsid w:val="3F5E4815"/>
    <w:rsid w:val="4A76109F"/>
    <w:rsid w:val="5D80013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uiPriority w:val="0"/>
    <w:pPr>
      <w:jc w:val="left"/>
    </w:pPr>
    <w:rPr>
      <w:rFonts w:ascii="Times New Roman" w:hAnsi="Times New Roman" w:eastAsia="宋体" w:cs="Times New Roman"/>
      <w:kern w:val="0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王礼贵(07134)</cp:lastModifiedBy>
  <dcterms:modified xsi:type="dcterms:W3CDTF">2022-04-01T01:44:22Z</dcterms:modified>
  <dc:title>安徽大学实验室与设备管理处（采购管理中心）科研助理岗位应聘报名表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A077BB639985426281AC4358F6757CAB</vt:lpwstr>
  </property>
</Properties>
</file>